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3E" w:rsidRPr="00D0290D" w:rsidRDefault="0029663E" w:rsidP="0029663E">
      <w:pPr>
        <w:pStyle w:val="Naslov"/>
        <w:rPr>
          <w:sz w:val="28"/>
        </w:rPr>
      </w:pPr>
    </w:p>
    <w:p w:rsidR="0029663E" w:rsidRPr="001778EE" w:rsidRDefault="0029663E" w:rsidP="0029663E">
      <w:pPr>
        <w:pStyle w:val="Naslov"/>
      </w:pPr>
      <w:r w:rsidRPr="001778EE">
        <w:t>Pravila o izbiri dijakov za opravljanje praktičnega usposabljanja v tujini</w:t>
      </w:r>
    </w:p>
    <w:p w:rsidR="0029663E" w:rsidRPr="001778EE" w:rsidRDefault="0029663E" w:rsidP="0029663E">
      <w:pPr>
        <w:jc w:val="center"/>
        <w:rPr>
          <w:b/>
        </w:rPr>
      </w:pPr>
      <w:r w:rsidRPr="001778EE">
        <w:rPr>
          <w:b/>
        </w:rPr>
        <w:t>1. člen</w:t>
      </w:r>
    </w:p>
    <w:p w:rsidR="0029663E" w:rsidRDefault="0029663E" w:rsidP="0029663E">
      <w:r w:rsidRPr="001778EE">
        <w:t>Praktičnega usposabljanja v tujini se lahko udeležijo dijaki tretjega in četrtega letnika</w:t>
      </w:r>
      <w:r>
        <w:t xml:space="preserve"> programov kemijski tehnik in farmacevtski tehnik. </w:t>
      </w:r>
      <w:r w:rsidRPr="001778EE">
        <w:t>Predvidoma gredo v prvem ocenjevalnem obdobju v tujino dijaki četrtega letnika, v drugem ocenjevalnem obdobju pa dijaki tretjega letnika. S praktičnim usposabljanjem v tujini se morajo strinjati starši</w:t>
      </w:r>
      <w:r>
        <w:t>, kar potrdijo s podpisano izjavo</w:t>
      </w:r>
      <w:r w:rsidRPr="001778EE">
        <w:t>. </w:t>
      </w:r>
      <w:r w:rsidRPr="001778EE">
        <w:br/>
        <w:t>Prijavljeni dijaki morajo imeti v preteklem šolskem letu najmanj dober splošni učni uspeh.</w:t>
      </w:r>
    </w:p>
    <w:p w:rsidR="00B06DC2" w:rsidRPr="001778EE" w:rsidRDefault="00B06DC2" w:rsidP="0029663E">
      <w:r>
        <w:t>Dijak se praviloma lahko udeleži ene izmenjave v času izobraževanja.</w:t>
      </w:r>
    </w:p>
    <w:p w:rsidR="00515A9F" w:rsidRDefault="00515A9F" w:rsidP="0029663E">
      <w:pPr>
        <w:jc w:val="center"/>
        <w:rPr>
          <w:b/>
        </w:rPr>
      </w:pPr>
    </w:p>
    <w:p w:rsidR="0029663E" w:rsidRPr="001778EE" w:rsidRDefault="0029663E" w:rsidP="0029663E">
      <w:pPr>
        <w:jc w:val="center"/>
        <w:rPr>
          <w:b/>
        </w:rPr>
      </w:pPr>
      <w:r w:rsidRPr="001778EE">
        <w:rPr>
          <w:b/>
        </w:rPr>
        <w:t>2. člen</w:t>
      </w:r>
    </w:p>
    <w:p w:rsidR="0029663E" w:rsidRPr="001778EE" w:rsidRDefault="0029663E" w:rsidP="0029663E">
      <w:r w:rsidRPr="001778EE">
        <w:t xml:space="preserve">Na praktično usposabljanje v tujini se </w:t>
      </w:r>
      <w:r w:rsidRPr="0029663E">
        <w:t xml:space="preserve">ne </w:t>
      </w:r>
      <w:r w:rsidRPr="001778EE">
        <w:t xml:space="preserve">more prijaviti dijak, ki </w:t>
      </w:r>
      <w:r>
        <w:t>mu</w:t>
      </w:r>
      <w:r w:rsidRPr="001778EE">
        <w:t xml:space="preserve"> je bil v času enega koledarskega leta pred dnevom zaključka roka za prijave izrečen vzgojni ukrep.</w:t>
      </w:r>
    </w:p>
    <w:p w:rsidR="00515A9F" w:rsidRDefault="00515A9F" w:rsidP="0029663E">
      <w:pPr>
        <w:jc w:val="center"/>
        <w:rPr>
          <w:b/>
        </w:rPr>
      </w:pPr>
    </w:p>
    <w:p w:rsidR="0029663E" w:rsidRPr="001778EE" w:rsidRDefault="0029663E" w:rsidP="0029663E">
      <w:pPr>
        <w:jc w:val="center"/>
        <w:rPr>
          <w:b/>
        </w:rPr>
      </w:pPr>
      <w:r w:rsidRPr="001778EE">
        <w:rPr>
          <w:b/>
        </w:rPr>
        <w:t>3. člen</w:t>
      </w:r>
    </w:p>
    <w:p w:rsidR="0029663E" w:rsidRPr="001778EE" w:rsidRDefault="0029663E" w:rsidP="0029663E">
      <w:r w:rsidRPr="001778EE">
        <w:t>Razpis za praktično usposabljanje dijakov v tujini se objavi na šolski spletni stran</w:t>
      </w:r>
      <w:r>
        <w:t>i</w:t>
      </w:r>
      <w:r w:rsidRPr="001778EE">
        <w:t xml:space="preserve"> in na oglasni deski</w:t>
      </w:r>
      <w:r>
        <w:t xml:space="preserve"> v pritličju šole.</w:t>
      </w:r>
      <w:r w:rsidRPr="001778EE">
        <w:t xml:space="preserve"> Dijaki se prijavijo z motivacijskim pismom in z življenjepisom. </w:t>
      </w:r>
      <w:r w:rsidRPr="0029663E">
        <w:t>Motivacijsko pismo</w:t>
      </w:r>
      <w:r w:rsidRPr="001778EE">
        <w:t xml:space="preserve"> napišejo v slovenščini in v tujem jeziku</w:t>
      </w:r>
      <w:r>
        <w:t xml:space="preserve"> (angleščini ali nemščini)</w:t>
      </w:r>
      <w:r w:rsidRPr="001778EE">
        <w:t xml:space="preserve">. Življenjepis napišejo v tujem jeziku, tako da izpolnijo ustrezno različico evropskega obrazca </w:t>
      </w:r>
      <w:proofErr w:type="spellStart"/>
      <w:r w:rsidRPr="001778EE">
        <w:t>Europass</w:t>
      </w:r>
      <w:proofErr w:type="spellEnd"/>
      <w:r w:rsidRPr="001778EE">
        <w:t xml:space="preserve"> CV.</w:t>
      </w:r>
    </w:p>
    <w:p w:rsidR="00515A9F" w:rsidRDefault="00515A9F" w:rsidP="0029663E">
      <w:pPr>
        <w:jc w:val="center"/>
        <w:rPr>
          <w:b/>
        </w:rPr>
      </w:pPr>
    </w:p>
    <w:p w:rsidR="0029663E" w:rsidRPr="001778EE" w:rsidRDefault="0029663E" w:rsidP="0029663E">
      <w:pPr>
        <w:jc w:val="center"/>
        <w:rPr>
          <w:b/>
        </w:rPr>
      </w:pPr>
      <w:r w:rsidRPr="001778EE">
        <w:rPr>
          <w:b/>
        </w:rPr>
        <w:t>4. člen</w:t>
      </w:r>
    </w:p>
    <w:p w:rsidR="0029663E" w:rsidRPr="001778EE" w:rsidRDefault="0029663E" w:rsidP="0029663E">
      <w:r w:rsidRPr="001778EE">
        <w:t xml:space="preserve">Do </w:t>
      </w:r>
      <w:r w:rsidR="008237EA">
        <w:t>določenega datuma</w:t>
      </w:r>
      <w:r w:rsidRPr="001778EE">
        <w:t xml:space="preserve"> oddajo dijaki </w:t>
      </w:r>
      <w:r w:rsidR="008237EA">
        <w:t>koordinatorici Erasmus+</w:t>
      </w:r>
      <w:r w:rsidRPr="001778EE">
        <w:t xml:space="preserve"> popolno vlogo, ki vsebuje</w:t>
      </w:r>
      <w:r>
        <w:t>:</w:t>
      </w:r>
      <w:r w:rsidRPr="001778EE">
        <w:t xml:space="preserve"> prijavo na razpis,</w:t>
      </w:r>
      <w:r>
        <w:t xml:space="preserve"> soglasje staršev,</w:t>
      </w:r>
      <w:r w:rsidRPr="001778EE">
        <w:t xml:space="preserve"> življenjepis</w:t>
      </w:r>
      <w:r>
        <w:t xml:space="preserve"> v tujem jeziku</w:t>
      </w:r>
      <w:r w:rsidRPr="001778EE">
        <w:t>, motivacijsko pismo</w:t>
      </w:r>
      <w:r>
        <w:t xml:space="preserve"> v slovenščini in tujem jeziku ter</w:t>
      </w:r>
      <w:r w:rsidRPr="001778EE">
        <w:t xml:space="preserve"> dokazila o dosežkih pod točkami 6 in 7 (fotokopije dokazil ali potrdila, podpisana </w:t>
      </w:r>
      <w:r w:rsidR="00D0290D">
        <w:t>s strani</w:t>
      </w:r>
      <w:r w:rsidRPr="001778EE">
        <w:t xml:space="preserve"> učiteljev</w:t>
      </w:r>
      <w:r w:rsidR="00D0290D">
        <w:t xml:space="preserve"> in mentorjev</w:t>
      </w:r>
      <w:r w:rsidRPr="001778EE">
        <w:t xml:space="preserve">). Upoštevajo se dosežki iz časa šolanja na </w:t>
      </w:r>
      <w:r>
        <w:t>GSKŠ Ruše</w:t>
      </w:r>
      <w:r w:rsidRPr="001778EE">
        <w:t>.</w:t>
      </w:r>
      <w:r w:rsidRPr="001778EE">
        <w:br/>
        <w:t>Motivacijsko pismo in izpolnjeni življenjepis pošljejo dijaki do zaključka razpisa tudi na e-naslov koordinator</w:t>
      </w:r>
      <w:r>
        <w:t>ice Erasmus+</w:t>
      </w:r>
      <w:r w:rsidRPr="001778EE">
        <w:t>.</w:t>
      </w:r>
    </w:p>
    <w:p w:rsidR="0029663E" w:rsidRPr="001778EE" w:rsidRDefault="00D0290D" w:rsidP="0029663E">
      <w:r>
        <w:t>Nepopolne vloge in p</w:t>
      </w:r>
      <w:r w:rsidR="0029663E" w:rsidRPr="001778EE">
        <w:t>rijave, oddane po roku, se zavržejo in se v postopku izbora ne upoštevajo.</w:t>
      </w:r>
    </w:p>
    <w:p w:rsidR="0029663E" w:rsidRPr="001778EE" w:rsidRDefault="0029663E" w:rsidP="0029663E">
      <w:pPr>
        <w:jc w:val="center"/>
        <w:rPr>
          <w:b/>
        </w:rPr>
      </w:pPr>
      <w:r w:rsidRPr="001778EE">
        <w:rPr>
          <w:b/>
        </w:rPr>
        <w:lastRenderedPageBreak/>
        <w:t>5. člen</w:t>
      </w:r>
    </w:p>
    <w:p w:rsidR="00381B14" w:rsidRPr="001778EE" w:rsidRDefault="00381B14" w:rsidP="00381B14">
      <w:r w:rsidRPr="001778EE">
        <w:t xml:space="preserve">Izbirni postopek vodi komisija za izbor dijakov za praktično usposabljanje v tujini (v nadaljevanju komisija), ki jo za tekoče šolsko leto imenuje ravnatelj. Po opravljenem točkovanju in </w:t>
      </w:r>
      <w:proofErr w:type="spellStart"/>
      <w:r w:rsidRPr="001778EE">
        <w:t>rangiranju</w:t>
      </w:r>
      <w:proofErr w:type="spellEnd"/>
      <w:r w:rsidRPr="001778EE">
        <w:t xml:space="preserve"> dijakov, komisija seznani dijake z rezultati izbora.</w:t>
      </w:r>
    </w:p>
    <w:p w:rsidR="00381B14" w:rsidRDefault="00381B14" w:rsidP="0029663E"/>
    <w:p w:rsidR="00381B14" w:rsidRPr="001778EE" w:rsidRDefault="00381B14" w:rsidP="00381B14">
      <w:pPr>
        <w:jc w:val="center"/>
        <w:rPr>
          <w:b/>
        </w:rPr>
      </w:pPr>
      <w:r>
        <w:rPr>
          <w:b/>
        </w:rPr>
        <w:t>6</w:t>
      </w:r>
      <w:r w:rsidRPr="001778EE">
        <w:rPr>
          <w:b/>
        </w:rPr>
        <w:t>. člen</w:t>
      </w:r>
    </w:p>
    <w:p w:rsidR="0029663E" w:rsidRPr="001356FB" w:rsidRDefault="0029663E" w:rsidP="0029663E">
      <w:pPr>
        <w:rPr>
          <w:b/>
          <w:sz w:val="28"/>
        </w:rPr>
      </w:pPr>
      <w:r w:rsidRPr="001356FB">
        <w:rPr>
          <w:b/>
          <w:sz w:val="28"/>
        </w:rPr>
        <w:t>Kriteriji izbire in točkovnik so naslednji:</w:t>
      </w:r>
    </w:p>
    <w:p w:rsidR="0029663E" w:rsidRPr="0029663E" w:rsidRDefault="0029663E" w:rsidP="0029663E">
      <w:pPr>
        <w:rPr>
          <w:b/>
        </w:rPr>
      </w:pPr>
      <w:r w:rsidRPr="0029663E">
        <w:rPr>
          <w:b/>
        </w:rPr>
        <w:t>1.</w:t>
      </w:r>
      <w:r>
        <w:rPr>
          <w:b/>
        </w:rPr>
        <w:t xml:space="preserve"> </w:t>
      </w:r>
      <w:r w:rsidRPr="0029663E">
        <w:rPr>
          <w:b/>
        </w:rPr>
        <w:t>Splošni učni uspeh za zadnje zaključeno šolsko leto</w:t>
      </w:r>
    </w:p>
    <w:p w:rsidR="0029663E" w:rsidRPr="001778EE" w:rsidRDefault="0029663E" w:rsidP="0029663E">
      <w:pPr>
        <w:ind w:left="567"/>
      </w:pPr>
      <w:r w:rsidRPr="001778EE">
        <w:t>Dijak prejme:</w:t>
      </w:r>
      <w:r w:rsidRPr="001778EE">
        <w:br/>
        <w:t>5 točk za odličen uspeh,</w:t>
      </w:r>
      <w:r w:rsidRPr="001778EE">
        <w:br/>
        <w:t>4 točke za prav dober uspeh,</w:t>
      </w:r>
      <w:r w:rsidRPr="001778EE">
        <w:br/>
        <w:t>3 točke za dober uspeh.</w:t>
      </w:r>
    </w:p>
    <w:p w:rsidR="0029663E" w:rsidRPr="001778EE" w:rsidRDefault="0029663E" w:rsidP="0029663E">
      <w:pPr>
        <w:rPr>
          <w:b/>
        </w:rPr>
      </w:pPr>
      <w:r w:rsidRPr="001778EE">
        <w:rPr>
          <w:b/>
        </w:rPr>
        <w:t>2. Ocen</w:t>
      </w:r>
      <w:r>
        <w:rPr>
          <w:b/>
        </w:rPr>
        <w:t>a razrednika in učiteljev praktičnega pouka</w:t>
      </w:r>
    </w:p>
    <w:p w:rsidR="0029663E" w:rsidRDefault="0029663E" w:rsidP="0029663E">
      <w:r>
        <w:t>Dijaka oceni razrednik (l</w:t>
      </w:r>
      <w:r w:rsidR="00AC6F43">
        <w:t>ahko s sodelovanjem oddelčnega učiteljskega zbora)</w:t>
      </w:r>
      <w:r>
        <w:t xml:space="preserve"> </w:t>
      </w:r>
      <w:r w:rsidRPr="001778EE">
        <w:t>po treh kriterijih:</w:t>
      </w:r>
    </w:p>
    <w:p w:rsidR="0029663E" w:rsidRPr="001778EE" w:rsidRDefault="0029663E" w:rsidP="0029663E">
      <w:pPr>
        <w:ind w:left="567"/>
      </w:pPr>
      <w:r w:rsidRPr="001778EE">
        <w:t>a) 5, 4, 3, 2 ali 1 točk</w:t>
      </w:r>
      <w:r w:rsidR="00AC6F43">
        <w:t>a</w:t>
      </w:r>
      <w:r w:rsidRPr="001778EE">
        <w:t xml:space="preserve"> za izpolnjevanje šolskih obveznosti, aktivno sodelovanje pri pouku, upoštevanje dogovorov,</w:t>
      </w:r>
      <w:r w:rsidRPr="001778EE">
        <w:br/>
        <w:t>b) 5, 4, 3, 2 ali 1 točk</w:t>
      </w:r>
      <w:r w:rsidR="00AC6F43">
        <w:t>a</w:t>
      </w:r>
      <w:r w:rsidRPr="001778EE">
        <w:t xml:space="preserve"> za dobre miselne sposobnosti, ustvarjalnost, razgledanost in visoko motivacijo za pridobivanje novih znanj.</w:t>
      </w:r>
      <w:r w:rsidRPr="001778EE">
        <w:br/>
        <w:t>c) 5, 4, 3, 2 ali 1 točk</w:t>
      </w:r>
      <w:r w:rsidR="00AC6F43">
        <w:t>a</w:t>
      </w:r>
      <w:r w:rsidRPr="001778EE">
        <w:t xml:space="preserve"> za odnos dijaka do učiteljev </w:t>
      </w:r>
      <w:r w:rsidR="008E27CC">
        <w:t>in sošolcev ter</w:t>
      </w:r>
      <w:r w:rsidRPr="001778EE">
        <w:t xml:space="preserve"> vedenje pri pouku.</w:t>
      </w:r>
    </w:p>
    <w:p w:rsidR="00AC6F43" w:rsidRDefault="0029663E" w:rsidP="0029663E">
      <w:r w:rsidRPr="001778EE">
        <w:t>Dijaka dodatno ocenijo učitelji modulov, ki vključujejo praktični pouk, po štirih kriterijih:</w:t>
      </w:r>
    </w:p>
    <w:p w:rsidR="0029663E" w:rsidRPr="001778EE" w:rsidRDefault="00AC6F43" w:rsidP="00AC6F43">
      <w:pPr>
        <w:ind w:left="567"/>
      </w:pPr>
      <w:r>
        <w:t>a</w:t>
      </w:r>
      <w:r w:rsidR="0029663E" w:rsidRPr="001778EE">
        <w:t>) 5, 4, 3, 2 ali 1 točk</w:t>
      </w:r>
      <w:r>
        <w:t>a</w:t>
      </w:r>
      <w:r w:rsidR="0029663E" w:rsidRPr="001778EE">
        <w:t xml:space="preserve"> za razumevanje navodil, samostojnost pri delu in sposobnost vrednotenja rezultatov,</w:t>
      </w:r>
      <w:r w:rsidR="0029663E" w:rsidRPr="001778EE">
        <w:br/>
      </w:r>
      <w:r>
        <w:t>b</w:t>
      </w:r>
      <w:r w:rsidR="0029663E" w:rsidRPr="001778EE">
        <w:t>) 5, 4, 3, 2 ali 1 točk</w:t>
      </w:r>
      <w:r>
        <w:t>a</w:t>
      </w:r>
      <w:r w:rsidR="0029663E" w:rsidRPr="001778EE">
        <w:t xml:space="preserve"> za ročno spretnost</w:t>
      </w:r>
      <w:r w:rsidR="008E27CC">
        <w:t xml:space="preserve"> ter </w:t>
      </w:r>
      <w:r w:rsidR="008E27CC" w:rsidRPr="001778EE">
        <w:t>skrb za varnost pri delu</w:t>
      </w:r>
      <w:r w:rsidR="0029663E" w:rsidRPr="001778EE">
        <w:t>,</w:t>
      </w:r>
      <w:r w:rsidR="0029663E" w:rsidRPr="001778EE">
        <w:br/>
      </w:r>
      <w:r>
        <w:t>c</w:t>
      </w:r>
      <w:r w:rsidR="0029663E" w:rsidRPr="001778EE">
        <w:t>) 5, 4, 3, 2 ali 1 točk</w:t>
      </w:r>
      <w:r>
        <w:t>a</w:t>
      </w:r>
      <w:r w:rsidR="0029663E" w:rsidRPr="001778EE">
        <w:t xml:space="preserve"> za</w:t>
      </w:r>
      <w:r w:rsidR="008E27CC">
        <w:t xml:space="preserve"> strokovno znanje</w:t>
      </w:r>
      <w:r w:rsidR="0029663E" w:rsidRPr="001778EE">
        <w:t>,</w:t>
      </w:r>
      <w:r w:rsidR="0029663E" w:rsidRPr="001778EE">
        <w:br/>
      </w:r>
      <w:r>
        <w:t>d</w:t>
      </w:r>
      <w:r w:rsidR="0029663E" w:rsidRPr="001778EE">
        <w:t>) 5, 4, 3, 2 ali 1 točk</w:t>
      </w:r>
      <w:r>
        <w:t>a</w:t>
      </w:r>
      <w:r w:rsidR="0029663E" w:rsidRPr="001778EE">
        <w:t xml:space="preserve"> za urejenost in komunikativnost.</w:t>
      </w:r>
    </w:p>
    <w:p w:rsidR="0029663E" w:rsidRPr="001778EE" w:rsidRDefault="0029663E" w:rsidP="0029663E">
      <w:r w:rsidRPr="001778EE">
        <w:t>Dijak lahko iz ocen učiteljev doseže največ 35 točk.</w:t>
      </w:r>
    </w:p>
    <w:p w:rsidR="0050118E" w:rsidRDefault="0050118E" w:rsidP="0029663E">
      <w:pPr>
        <w:rPr>
          <w:b/>
        </w:rPr>
      </w:pPr>
    </w:p>
    <w:p w:rsidR="0029663E" w:rsidRPr="001778EE" w:rsidRDefault="0029663E" w:rsidP="0029663E">
      <w:pPr>
        <w:rPr>
          <w:b/>
        </w:rPr>
      </w:pPr>
      <w:r w:rsidRPr="001778EE">
        <w:rPr>
          <w:b/>
        </w:rPr>
        <w:t xml:space="preserve">3. </w:t>
      </w:r>
      <w:r w:rsidR="00AC6F43">
        <w:rPr>
          <w:b/>
        </w:rPr>
        <w:t>Odsotnost od pouka</w:t>
      </w:r>
    </w:p>
    <w:p w:rsidR="00AC6F43" w:rsidRDefault="0029663E" w:rsidP="00AC6F43">
      <w:r w:rsidRPr="001778EE">
        <w:t>Upoštevajo se neopravičene ure v času enega koledarskega leta pred dnevom zaključka roka za prijave.</w:t>
      </w:r>
    </w:p>
    <w:p w:rsidR="0029663E" w:rsidRPr="001778EE" w:rsidRDefault="0029663E" w:rsidP="00AC6F43">
      <w:pPr>
        <w:ind w:left="567"/>
      </w:pPr>
      <w:r w:rsidRPr="001778EE">
        <w:t>Dijak prejme:</w:t>
      </w:r>
      <w:r w:rsidRPr="001778EE">
        <w:br/>
        <w:t>5 točk za 0 neopravičenih ur,                      </w:t>
      </w:r>
      <w:r w:rsidRPr="001778EE">
        <w:br/>
        <w:t>3 točke za 1- 4 neopravičene ure,                </w:t>
      </w:r>
      <w:r w:rsidRPr="001778EE">
        <w:br/>
        <w:t>0 točk za 5 ali več neopravičenih ur.     </w:t>
      </w:r>
    </w:p>
    <w:p w:rsidR="00AC6F43" w:rsidRDefault="002662AE" w:rsidP="0029663E">
      <w:pPr>
        <w:rPr>
          <w:b/>
        </w:rPr>
      </w:pPr>
      <w:r>
        <w:rPr>
          <w:b/>
        </w:rPr>
        <w:lastRenderedPageBreak/>
        <w:t>4. Motivacijsko pismo</w:t>
      </w:r>
      <w:bookmarkStart w:id="0" w:name="_GoBack"/>
      <w:bookmarkEnd w:id="0"/>
    </w:p>
    <w:p w:rsidR="0029663E" w:rsidRPr="001778EE" w:rsidRDefault="0029663E" w:rsidP="00AC6F43">
      <w:pPr>
        <w:ind w:left="567"/>
      </w:pPr>
      <w:r w:rsidRPr="001778EE">
        <w:t>Dijak prejme:</w:t>
      </w:r>
      <w:r w:rsidRPr="001778EE">
        <w:br/>
        <w:t xml:space="preserve">5 točk za originalno, </w:t>
      </w:r>
      <w:r w:rsidR="00AC6F43">
        <w:t>ustvarjalno</w:t>
      </w:r>
      <w:r w:rsidRPr="001778EE">
        <w:t xml:space="preserve"> motivacijsko pismo,</w:t>
      </w:r>
      <w:r w:rsidRPr="001778EE">
        <w:br/>
        <w:t>4 točke za dobro motivacijsko pismo, ki vsebuje vse običajne podatke,</w:t>
      </w:r>
      <w:r w:rsidRPr="001778EE">
        <w:br/>
        <w:t>3 točke za povprečno motivacijsko pismo,</w:t>
      </w:r>
      <w:r w:rsidRPr="001778EE">
        <w:br/>
        <w:t>2 točki za zadovoljivo, delno pomanjkljivo motivacijsko pismo,</w:t>
      </w:r>
      <w:r w:rsidRPr="001778EE">
        <w:br/>
        <w:t>1 točko za slabo izdelano motivacijsko pismo.</w:t>
      </w:r>
    </w:p>
    <w:p w:rsidR="0029663E" w:rsidRPr="001778EE" w:rsidRDefault="0029663E" w:rsidP="0029663E">
      <w:r w:rsidRPr="001778EE">
        <w:t>V primeru, da dijak motivacijsko pismo delno ali v celoti prepiše od nekoga drugega, se njegovo prijavo izloči iz izbirnega postopka za opravljanje PUD v tujini in se jo zavrže.</w:t>
      </w:r>
      <w:r w:rsidR="00AC6F43">
        <w:t xml:space="preserve"> </w:t>
      </w:r>
    </w:p>
    <w:p w:rsidR="0050118E" w:rsidRDefault="0050118E" w:rsidP="0029663E">
      <w:pPr>
        <w:rPr>
          <w:b/>
        </w:rPr>
      </w:pPr>
    </w:p>
    <w:p w:rsidR="008237EA" w:rsidRDefault="0029663E" w:rsidP="0029663E">
      <w:r w:rsidRPr="001778EE">
        <w:rPr>
          <w:b/>
        </w:rPr>
        <w:t>5. Tuji jezik</w:t>
      </w:r>
      <w:r w:rsidRPr="001778EE">
        <w:rPr>
          <w:b/>
        </w:rPr>
        <w:br/>
      </w:r>
      <w:r w:rsidRPr="001778EE">
        <w:t>Učitelji tujega jezika ocenijo dijaka po Evropskem jezikovnem okvirju. Ocena zajema bralno razumevanje, govorno sporazumevanje ter govorno in pisno sporočanje. Dijak prejme za vsak kriterij:</w:t>
      </w:r>
    </w:p>
    <w:p w:rsidR="008237EA" w:rsidRDefault="0029663E" w:rsidP="008237EA">
      <w:pPr>
        <w:ind w:left="567"/>
      </w:pPr>
      <w:r w:rsidRPr="001778EE">
        <w:t>po 2 točki za znanje na ravni B2</w:t>
      </w:r>
      <w:r w:rsidR="008237EA">
        <w:t xml:space="preserve"> ali višje</w:t>
      </w:r>
      <w:r w:rsidRPr="001778EE">
        <w:t>, </w:t>
      </w:r>
      <w:r w:rsidRPr="001778EE">
        <w:br/>
        <w:t>po 1 točko za znanje na ravni B1,</w:t>
      </w:r>
      <w:r w:rsidRPr="001778EE">
        <w:br/>
        <w:t>0 točk za znanje na ravni A. </w:t>
      </w:r>
    </w:p>
    <w:p w:rsidR="0029663E" w:rsidRPr="001778EE" w:rsidRDefault="0029663E" w:rsidP="0029663E">
      <w:r w:rsidRPr="001778EE">
        <w:t>Ocenjevalno lestvico dijakom pojasnijo učitelji tujega jezika. Dijak lahko iz tega kriterija doseže največ 10 točk.</w:t>
      </w:r>
    </w:p>
    <w:p w:rsidR="0050118E" w:rsidRDefault="0050118E" w:rsidP="0029663E">
      <w:pPr>
        <w:rPr>
          <w:b/>
        </w:rPr>
      </w:pPr>
    </w:p>
    <w:p w:rsidR="008237EA" w:rsidRDefault="0029663E" w:rsidP="0029663E">
      <w:r w:rsidRPr="001778EE">
        <w:rPr>
          <w:b/>
        </w:rPr>
        <w:t>6. Tekmovanja in raziskovalne naloge</w:t>
      </w:r>
      <w:r w:rsidRPr="001778EE">
        <w:rPr>
          <w:b/>
        </w:rPr>
        <w:br/>
      </w:r>
      <w:r w:rsidRPr="001778EE">
        <w:t xml:space="preserve">Dijak posameznik prejme za tekmovanja iz znanja, vezana na šolski </w:t>
      </w:r>
      <w:proofErr w:type="spellStart"/>
      <w:r w:rsidRPr="001778EE">
        <w:t>kurikul</w:t>
      </w:r>
      <w:proofErr w:type="spellEnd"/>
      <w:r w:rsidRPr="001778EE">
        <w:t>:</w:t>
      </w:r>
    </w:p>
    <w:p w:rsidR="0029663E" w:rsidRPr="001778EE" w:rsidRDefault="0029663E" w:rsidP="008237EA">
      <w:pPr>
        <w:ind w:left="567"/>
      </w:pPr>
      <w:r w:rsidRPr="001778EE">
        <w:t>5 točk za 1-3 mesto na državnem nivoju in mednarodnem nivoju ali zlato priznanje,</w:t>
      </w:r>
      <w:r w:rsidRPr="001778EE">
        <w:br/>
        <w:t>3 točke za 1-3 mesto na regijskem nivoju ali srebrno priznanje,</w:t>
      </w:r>
      <w:r w:rsidRPr="001778EE">
        <w:br/>
        <w:t>1 točko za 1-3 mesto na šolskem tekmovanju ali bronasto priznanje.</w:t>
      </w:r>
    </w:p>
    <w:p w:rsidR="008237EA" w:rsidRDefault="0029663E" w:rsidP="0029663E">
      <w:r w:rsidRPr="001778EE">
        <w:t>Dijak posameznik prejme za tekmovanja s področja športa in kulture:</w:t>
      </w:r>
    </w:p>
    <w:p w:rsidR="008237EA" w:rsidRDefault="0029663E" w:rsidP="008237EA">
      <w:pPr>
        <w:ind w:left="567"/>
      </w:pPr>
      <w:r w:rsidRPr="001778EE">
        <w:t>2 točki za 1-3 mesto na državnem ali mednarodnem nivoju,</w:t>
      </w:r>
      <w:r w:rsidRPr="001778EE">
        <w:br/>
        <w:t>1 točko za 1-3 mesto na regijskem nivoju.</w:t>
      </w:r>
    </w:p>
    <w:p w:rsidR="008237EA" w:rsidRDefault="0029663E" w:rsidP="0029663E">
      <w:r w:rsidRPr="001778EE">
        <w:t>Dijak, ki tekmuje v paru ali skupini, prejme za tekmovanja s področja športa in kulture:</w:t>
      </w:r>
    </w:p>
    <w:p w:rsidR="0029663E" w:rsidRPr="001778EE" w:rsidRDefault="0029663E" w:rsidP="008237EA">
      <w:pPr>
        <w:ind w:left="567"/>
      </w:pPr>
      <w:r w:rsidRPr="001778EE">
        <w:t>1 točko za 1-3 mesto na državnem ali mednarodnem nivoju.</w:t>
      </w:r>
    </w:p>
    <w:p w:rsidR="0029663E" w:rsidRPr="001778EE" w:rsidRDefault="0029663E" w:rsidP="0029663E">
      <w:r w:rsidRPr="001778EE">
        <w:t>Dijak lahko iz tega kriterija doseže največ 5 točk.</w:t>
      </w:r>
      <w:r w:rsidR="008237EA">
        <w:t xml:space="preserve"> Upoštevajo se dosežki iz časa šolanja na GSKŠ Ruše.</w:t>
      </w:r>
    </w:p>
    <w:p w:rsidR="0050118E" w:rsidRDefault="0050118E" w:rsidP="0029663E">
      <w:pPr>
        <w:rPr>
          <w:b/>
        </w:rPr>
      </w:pPr>
    </w:p>
    <w:p w:rsidR="0050118E" w:rsidRDefault="0050118E" w:rsidP="0029663E">
      <w:pPr>
        <w:rPr>
          <w:b/>
        </w:rPr>
      </w:pPr>
    </w:p>
    <w:p w:rsidR="0050118E" w:rsidRDefault="0050118E" w:rsidP="0029663E">
      <w:pPr>
        <w:rPr>
          <w:b/>
        </w:rPr>
      </w:pPr>
    </w:p>
    <w:p w:rsidR="008237EA" w:rsidRDefault="0029663E" w:rsidP="0029663E">
      <w:r w:rsidRPr="001778EE">
        <w:rPr>
          <w:b/>
        </w:rPr>
        <w:lastRenderedPageBreak/>
        <w:t xml:space="preserve">7. </w:t>
      </w:r>
      <w:r w:rsidR="008237EA">
        <w:rPr>
          <w:b/>
        </w:rPr>
        <w:t>Ostale aktivnosti</w:t>
      </w:r>
      <w:r w:rsidRPr="001778EE">
        <w:rPr>
          <w:b/>
        </w:rPr>
        <w:t> </w:t>
      </w:r>
      <w:r w:rsidRPr="001778EE">
        <w:rPr>
          <w:b/>
        </w:rPr>
        <w:br/>
      </w:r>
      <w:r w:rsidRPr="001778EE">
        <w:t>Dijak prejme po 1 točko iz naslednjih del: predstavljanje šole, njenih učnih programov ter drugih dejavnosti zunaj šole, nastopanje za šolo na proslavah in predstavah, pridobitev naziva ”</w:t>
      </w:r>
      <w:r w:rsidR="008237EA">
        <w:t>naj dijak</w:t>
      </w:r>
      <w:r w:rsidRPr="001778EE">
        <w:t xml:space="preserve"> šole”, aktivno sodelovanje v odboru dijaške skup</w:t>
      </w:r>
      <w:r w:rsidR="008237EA">
        <w:t>n</w:t>
      </w:r>
      <w:r w:rsidRPr="001778EE">
        <w:t>osti in podobno. </w:t>
      </w:r>
      <w:r w:rsidRPr="001778EE">
        <w:br/>
        <w:t>Dijak lahko iz tega kriterija doseže</w:t>
      </w:r>
      <w:r w:rsidR="008237EA">
        <w:t>:</w:t>
      </w:r>
    </w:p>
    <w:p w:rsidR="008237EA" w:rsidRDefault="008237EA" w:rsidP="008237EA">
      <w:pPr>
        <w:ind w:left="567"/>
      </w:pPr>
      <w:r w:rsidRPr="001778EE">
        <w:t xml:space="preserve">5 točk za </w:t>
      </w:r>
      <w:r>
        <w:t>redno ali večkratno sodelovanje</w:t>
      </w:r>
      <w:r w:rsidRPr="001778EE">
        <w:t>,</w:t>
      </w:r>
      <w:r w:rsidRPr="001778EE">
        <w:br/>
        <w:t xml:space="preserve">3 točke za </w:t>
      </w:r>
      <w:r>
        <w:t>enkratno sodelovanje</w:t>
      </w:r>
      <w:r w:rsidRPr="001778EE">
        <w:t>,</w:t>
      </w:r>
      <w:r w:rsidRPr="001778EE">
        <w:br/>
      </w:r>
      <w:r>
        <w:t>0</w:t>
      </w:r>
      <w:r w:rsidRPr="001778EE">
        <w:t xml:space="preserve"> točk za </w:t>
      </w:r>
      <w:r>
        <w:t>nesodelovanje</w:t>
      </w:r>
      <w:r w:rsidRPr="001778EE">
        <w:t>.</w:t>
      </w:r>
    </w:p>
    <w:p w:rsidR="001356FB" w:rsidRPr="001778EE" w:rsidRDefault="001356FB" w:rsidP="008237EA">
      <w:pPr>
        <w:ind w:left="567"/>
      </w:pPr>
    </w:p>
    <w:p w:rsidR="0050118E" w:rsidRDefault="001356FB" w:rsidP="001356FB">
      <w:r>
        <w:rPr>
          <w:b/>
        </w:rPr>
        <w:t>8</w:t>
      </w:r>
      <w:r w:rsidRPr="001778EE">
        <w:rPr>
          <w:b/>
        </w:rPr>
        <w:t xml:space="preserve">. </w:t>
      </w:r>
      <w:r>
        <w:rPr>
          <w:b/>
        </w:rPr>
        <w:t>Dijaki iz okolja z manj priložnostmi</w:t>
      </w:r>
      <w:r w:rsidRPr="001778EE">
        <w:rPr>
          <w:b/>
        </w:rPr>
        <w:t> </w:t>
      </w:r>
      <w:r w:rsidRPr="001778EE">
        <w:rPr>
          <w:b/>
        </w:rPr>
        <w:br/>
      </w:r>
      <w:r w:rsidRPr="001778EE">
        <w:t>Dijak</w:t>
      </w:r>
      <w:r>
        <w:t xml:space="preserve">, ki prihaja iz okolja z manj priložnostmi, prejme dodatne 3 točke. Kriterije mladih z manj priložnostmi opredeljujejo pravila Erasmus+ programa. </w:t>
      </w:r>
    </w:p>
    <w:p w:rsidR="001356FB" w:rsidRDefault="001356FB" w:rsidP="001356FB"/>
    <w:p w:rsidR="001356FB" w:rsidRDefault="001356FB" w:rsidP="001356FB">
      <w:pPr>
        <w:rPr>
          <w:b/>
        </w:rPr>
      </w:pPr>
    </w:p>
    <w:p w:rsidR="0029663E" w:rsidRPr="001778EE" w:rsidRDefault="00381B14" w:rsidP="0029663E">
      <w:pPr>
        <w:jc w:val="center"/>
        <w:rPr>
          <w:b/>
        </w:rPr>
      </w:pPr>
      <w:r>
        <w:rPr>
          <w:b/>
        </w:rPr>
        <w:t>7</w:t>
      </w:r>
      <w:r w:rsidR="0029663E" w:rsidRPr="001778EE">
        <w:rPr>
          <w:b/>
        </w:rPr>
        <w:t>. člen</w:t>
      </w:r>
    </w:p>
    <w:p w:rsidR="0029663E" w:rsidRPr="001778EE" w:rsidRDefault="0029663E" w:rsidP="0029663E">
      <w:r w:rsidRPr="001778EE">
        <w:t>Vso dokumentacijo, ki je podlaga za izbiro dijakov, hrani koordinator</w:t>
      </w:r>
      <w:r w:rsidR="00D0290D">
        <w:t>ica Erasmus+</w:t>
      </w:r>
      <w:r w:rsidRPr="001778EE">
        <w:t xml:space="preserve">. </w:t>
      </w:r>
      <w:r w:rsidR="00D0290D">
        <w:t>Dijaku se na željo</w:t>
      </w:r>
      <w:r w:rsidRPr="001778EE">
        <w:t xml:space="preserve"> omogoči vpogled v obrazce za točkovanje. Dijak lahko najkasneje naslednji dan po vpogledu na komisijo naslovi pisni ugovor na izračun ocene, če je pri izračunu prišlo do računske napake. Komisija ponovno pregleda izračun in popravi morebitne ugotovljene napake ter ustrezno spremeni vrstni red dijakov. Odločitev komisije je dokončna.</w:t>
      </w:r>
    </w:p>
    <w:p w:rsidR="0050118E" w:rsidRDefault="0050118E" w:rsidP="0029663E">
      <w:pPr>
        <w:jc w:val="center"/>
        <w:rPr>
          <w:b/>
        </w:rPr>
      </w:pPr>
    </w:p>
    <w:p w:rsidR="0029663E" w:rsidRPr="001778EE" w:rsidRDefault="00381B14" w:rsidP="0029663E">
      <w:pPr>
        <w:jc w:val="center"/>
        <w:rPr>
          <w:b/>
        </w:rPr>
      </w:pPr>
      <w:r>
        <w:rPr>
          <w:b/>
        </w:rPr>
        <w:t>8</w:t>
      </w:r>
      <w:r w:rsidR="0029663E" w:rsidRPr="001778EE">
        <w:rPr>
          <w:b/>
        </w:rPr>
        <w:t>. člen</w:t>
      </w:r>
    </w:p>
    <w:p w:rsidR="00922BB4" w:rsidRDefault="0029663E" w:rsidP="00C45C84">
      <w:r w:rsidRPr="001778EE">
        <w:t>Pravila o izbiri dijakov za opravljanje praktičnega usposabljanja v tujini je sprejel ravnatelj šole</w:t>
      </w:r>
      <w:r w:rsidR="00D0290D">
        <w:t xml:space="preserve"> </w:t>
      </w:r>
      <w:r w:rsidRPr="001778EE">
        <w:t xml:space="preserve">in veljajo od </w:t>
      </w:r>
      <w:r w:rsidR="008E27CC">
        <w:t>šolskega leta 2018/19 dalje</w:t>
      </w:r>
      <w:r w:rsidRPr="001778EE">
        <w:t>.</w:t>
      </w:r>
    </w:p>
    <w:p w:rsidR="0050118E" w:rsidRDefault="0050118E" w:rsidP="00C45C84"/>
    <w:p w:rsidR="0050118E" w:rsidRDefault="0050118E" w:rsidP="00C45C84"/>
    <w:p w:rsidR="0050118E" w:rsidRDefault="008E27CC" w:rsidP="00C45C84">
      <w:r>
        <w:tab/>
      </w:r>
      <w:r>
        <w:tab/>
      </w:r>
      <w:r>
        <w:tab/>
      </w:r>
      <w:r>
        <w:tab/>
      </w:r>
      <w:r>
        <w:tab/>
      </w:r>
      <w:r>
        <w:tab/>
      </w:r>
      <w:r>
        <w:tab/>
      </w:r>
      <w:r>
        <w:tab/>
      </w:r>
      <w:r>
        <w:tab/>
        <w:t>R</w:t>
      </w:r>
      <w:r w:rsidR="0050118E">
        <w:t>avnatelj GSKŠ Ruše</w:t>
      </w:r>
      <w:r>
        <w:t>:</w:t>
      </w:r>
    </w:p>
    <w:p w:rsidR="008E27CC" w:rsidRPr="00C45C84" w:rsidRDefault="008E27CC" w:rsidP="00C45C84">
      <w:r>
        <w:tab/>
      </w:r>
      <w:r>
        <w:tab/>
      </w:r>
      <w:r>
        <w:tab/>
      </w:r>
      <w:r>
        <w:tab/>
      </w:r>
      <w:r>
        <w:tab/>
      </w:r>
      <w:r>
        <w:tab/>
      </w:r>
      <w:r>
        <w:tab/>
      </w:r>
      <w:r>
        <w:tab/>
        <w:t xml:space="preserve">Samo Robič, univ. dipl. inž. kem. teh. </w:t>
      </w:r>
    </w:p>
    <w:sectPr w:rsidR="008E27CC" w:rsidRPr="00C45C84" w:rsidSect="00B06DC2">
      <w:headerReference w:type="even" r:id="rId8"/>
      <w:headerReference w:type="default" r:id="rId9"/>
      <w:footerReference w:type="even" r:id="rId10"/>
      <w:footerReference w:type="default" r:id="rId11"/>
      <w:headerReference w:type="first" r:id="rId12"/>
      <w:footerReference w:type="first" r:id="rId13"/>
      <w:pgSz w:w="11906" w:h="16838"/>
      <w:pgMar w:top="1135" w:right="1133" w:bottom="1417" w:left="993" w:header="127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29" w:rsidRDefault="008E3B29" w:rsidP="00C45C84">
      <w:pPr>
        <w:spacing w:after="0" w:line="240" w:lineRule="auto"/>
      </w:pPr>
      <w:r>
        <w:separator/>
      </w:r>
    </w:p>
  </w:endnote>
  <w:endnote w:type="continuationSeparator" w:id="0">
    <w:p w:rsidR="008E3B29" w:rsidRDefault="008E3B29"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9F" w:rsidRDefault="00515A9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9F" w:rsidRDefault="00515A9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9F" w:rsidRDefault="00515A9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29" w:rsidRDefault="008E3B29" w:rsidP="00C45C84">
      <w:pPr>
        <w:spacing w:after="0" w:line="240" w:lineRule="auto"/>
      </w:pPr>
      <w:r>
        <w:separator/>
      </w:r>
    </w:p>
  </w:footnote>
  <w:footnote w:type="continuationSeparator" w:id="0">
    <w:p w:rsidR="008E3B29" w:rsidRDefault="008E3B29" w:rsidP="00C45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9F" w:rsidRDefault="00515A9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9F" w:rsidRDefault="00515A9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3E" w:rsidRDefault="0029663E" w:rsidP="0029663E">
    <w:r>
      <w:rPr>
        <w:noProof/>
        <w:lang w:eastAsia="sl-SI"/>
      </w:rPr>
      <w:drawing>
        <wp:anchor distT="0" distB="0" distL="114300" distR="114300" simplePos="0" relativeHeight="251656192" behindDoc="0" locked="0" layoutInCell="1" allowOverlap="1" wp14:anchorId="1E6C66F1" wp14:editId="3FB5F641">
          <wp:simplePos x="0" y="0"/>
          <wp:positionH relativeFrom="margin">
            <wp:posOffset>4225290</wp:posOffset>
          </wp:positionH>
          <wp:positionV relativeFrom="margin">
            <wp:posOffset>-908050</wp:posOffset>
          </wp:positionV>
          <wp:extent cx="1141730" cy="825500"/>
          <wp:effectExtent l="0" t="0" r="1270" b="0"/>
          <wp:wrapSquare wrapText="bothSides"/>
          <wp:docPr id="2" name="Slika 2" descr="Rezultat iskanja slik za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erasmus 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73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7216" behindDoc="0" locked="0" layoutInCell="1" allowOverlap="1" wp14:anchorId="42B4F920" wp14:editId="33C60E7A">
          <wp:simplePos x="0" y="0"/>
          <wp:positionH relativeFrom="column">
            <wp:posOffset>205105</wp:posOffset>
          </wp:positionH>
          <wp:positionV relativeFrom="paragraph">
            <wp:posOffset>-78105</wp:posOffset>
          </wp:positionV>
          <wp:extent cx="2343150" cy="742950"/>
          <wp:effectExtent l="0" t="0" r="0" b="0"/>
          <wp:wrapSquare wrapText="bothSides"/>
          <wp:docPr id="1" name="Slika 1" descr="Rezultat iskanja slik za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rasmus plus"/>
                  <pic:cNvPicPr>
                    <a:picLocks noChangeAspect="1" noChangeArrowheads="1"/>
                  </pic:cNvPicPr>
                </pic:nvPicPr>
                <pic:blipFill rotWithShape="1">
                  <a:blip r:embed="rId2">
                    <a:extLst>
                      <a:ext uri="{28A0092B-C50C-407E-A947-70E740481C1C}">
                        <a14:useLocalDpi xmlns:a14="http://schemas.microsoft.com/office/drawing/2010/main" val="0"/>
                      </a:ext>
                    </a:extLst>
                  </a:blip>
                  <a:srcRect l="3030" t="6980" r="3788" b="24974"/>
                  <a:stretch/>
                </pic:blipFill>
                <pic:spPr bwMode="auto">
                  <a:xfrm>
                    <a:off x="0" y="0"/>
                    <a:ext cx="23431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0" locked="0" layoutInCell="1" allowOverlap="1" wp14:anchorId="50262D98" wp14:editId="63B000CD">
          <wp:simplePos x="0" y="0"/>
          <wp:positionH relativeFrom="column">
            <wp:posOffset>74295</wp:posOffset>
          </wp:positionH>
          <wp:positionV relativeFrom="paragraph">
            <wp:posOffset>-283845</wp:posOffset>
          </wp:positionV>
          <wp:extent cx="5760720" cy="203200"/>
          <wp:effectExtent l="0" t="0" r="0" b="6350"/>
          <wp:wrapSquare wrapText="bothSides"/>
          <wp:docPr id="3" name="Slika 3" descr="http://novo.gimnazija-ruse.o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o.gimnazija-ruse.org/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63E" w:rsidRDefault="0029663E" w:rsidP="0029663E">
    <w:pPr>
      <w:pStyle w:val="Glava"/>
    </w:pPr>
  </w:p>
  <w:p w:rsidR="0029663E" w:rsidRDefault="0029663E" w:rsidP="0029663E">
    <w:pPr>
      <w:pStyle w:val="Glava"/>
    </w:pPr>
  </w:p>
  <w:p w:rsidR="0029663E" w:rsidRPr="006F59F4" w:rsidRDefault="0029663E" w:rsidP="0029663E">
    <w:pPr>
      <w:pStyle w:val="Glava"/>
      <w:rPr>
        <w:sz w:val="12"/>
      </w:rPr>
    </w:pPr>
    <w:r w:rsidRPr="006F59F4">
      <w:rPr>
        <w:rFonts w:ascii="Arial" w:hAnsi="Arial" w:cs="Arial"/>
        <w:color w:val="383838"/>
        <w:sz w:val="16"/>
        <w:szCs w:val="27"/>
        <w:shd w:val="clear" w:color="auto" w:fill="FFFFFF"/>
      </w:rPr>
      <w:t>Izvedba tega projekta je financirana s strani Evropske komisije.</w:t>
    </w:r>
  </w:p>
  <w:p w:rsidR="0029663E" w:rsidRDefault="0029663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56B74"/>
    <w:multiLevelType w:val="hybridMultilevel"/>
    <w:tmpl w:val="CA5A5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84"/>
    <w:rsid w:val="00041B22"/>
    <w:rsid w:val="001356FB"/>
    <w:rsid w:val="00220CC0"/>
    <w:rsid w:val="002662AE"/>
    <w:rsid w:val="0029663E"/>
    <w:rsid w:val="003629B5"/>
    <w:rsid w:val="00381B14"/>
    <w:rsid w:val="004B402A"/>
    <w:rsid w:val="0050118E"/>
    <w:rsid w:val="00515A9F"/>
    <w:rsid w:val="006C0697"/>
    <w:rsid w:val="006F59F4"/>
    <w:rsid w:val="007F26AC"/>
    <w:rsid w:val="008237EA"/>
    <w:rsid w:val="008E27CC"/>
    <w:rsid w:val="008E3B29"/>
    <w:rsid w:val="00922BB4"/>
    <w:rsid w:val="00AC6F43"/>
    <w:rsid w:val="00B06DC2"/>
    <w:rsid w:val="00C45C84"/>
    <w:rsid w:val="00D02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6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5C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C84"/>
    <w:rPr>
      <w:rFonts w:ascii="Tahoma" w:hAnsi="Tahoma" w:cs="Tahoma"/>
      <w:sz w:val="16"/>
      <w:szCs w:val="16"/>
    </w:rPr>
  </w:style>
  <w:style w:type="paragraph" w:styleId="Glava">
    <w:name w:val="header"/>
    <w:basedOn w:val="Navaden"/>
    <w:link w:val="GlavaZnak"/>
    <w:uiPriority w:val="99"/>
    <w:unhideWhenUsed/>
    <w:rsid w:val="00C45C84"/>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C84"/>
  </w:style>
  <w:style w:type="paragraph" w:styleId="Noga">
    <w:name w:val="footer"/>
    <w:basedOn w:val="Navaden"/>
    <w:link w:val="NogaZnak"/>
    <w:uiPriority w:val="99"/>
    <w:unhideWhenUsed/>
    <w:rsid w:val="00C45C84"/>
    <w:pPr>
      <w:tabs>
        <w:tab w:val="center" w:pos="4536"/>
        <w:tab w:val="right" w:pos="9072"/>
      </w:tabs>
      <w:spacing w:after="0" w:line="240" w:lineRule="auto"/>
    </w:pPr>
  </w:style>
  <w:style w:type="character" w:customStyle="1" w:styleId="NogaZnak">
    <w:name w:val="Noga Znak"/>
    <w:basedOn w:val="Privzetapisavaodstavka"/>
    <w:link w:val="Noga"/>
    <w:uiPriority w:val="99"/>
    <w:rsid w:val="00C45C84"/>
  </w:style>
  <w:style w:type="paragraph" w:styleId="Naslov">
    <w:name w:val="Title"/>
    <w:basedOn w:val="Navaden"/>
    <w:next w:val="Navaden"/>
    <w:link w:val="NaslovZnak"/>
    <w:uiPriority w:val="10"/>
    <w:qFormat/>
    <w:rsid w:val="00296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9663E"/>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296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6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5C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C84"/>
    <w:rPr>
      <w:rFonts w:ascii="Tahoma" w:hAnsi="Tahoma" w:cs="Tahoma"/>
      <w:sz w:val="16"/>
      <w:szCs w:val="16"/>
    </w:rPr>
  </w:style>
  <w:style w:type="paragraph" w:styleId="Glava">
    <w:name w:val="header"/>
    <w:basedOn w:val="Navaden"/>
    <w:link w:val="GlavaZnak"/>
    <w:uiPriority w:val="99"/>
    <w:unhideWhenUsed/>
    <w:rsid w:val="00C45C84"/>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C84"/>
  </w:style>
  <w:style w:type="paragraph" w:styleId="Noga">
    <w:name w:val="footer"/>
    <w:basedOn w:val="Navaden"/>
    <w:link w:val="NogaZnak"/>
    <w:uiPriority w:val="99"/>
    <w:unhideWhenUsed/>
    <w:rsid w:val="00C45C84"/>
    <w:pPr>
      <w:tabs>
        <w:tab w:val="center" w:pos="4536"/>
        <w:tab w:val="right" w:pos="9072"/>
      </w:tabs>
      <w:spacing w:after="0" w:line="240" w:lineRule="auto"/>
    </w:pPr>
  </w:style>
  <w:style w:type="character" w:customStyle="1" w:styleId="NogaZnak">
    <w:name w:val="Noga Znak"/>
    <w:basedOn w:val="Privzetapisavaodstavka"/>
    <w:link w:val="Noga"/>
    <w:uiPriority w:val="99"/>
    <w:rsid w:val="00C45C84"/>
  </w:style>
  <w:style w:type="paragraph" w:styleId="Naslov">
    <w:name w:val="Title"/>
    <w:basedOn w:val="Navaden"/>
    <w:next w:val="Navaden"/>
    <w:link w:val="NaslovZnak"/>
    <w:uiPriority w:val="10"/>
    <w:qFormat/>
    <w:rsid w:val="00296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29663E"/>
    <w:rPr>
      <w:rFonts w:asciiTheme="majorHAnsi" w:eastAsiaTheme="majorEastAsia" w:hAnsiTheme="majorHAnsi" w:cstheme="majorBidi"/>
      <w:color w:val="17365D" w:themeColor="text2" w:themeShade="BF"/>
      <w:spacing w:val="5"/>
      <w:kern w:val="28"/>
      <w:sz w:val="52"/>
      <w:szCs w:val="52"/>
    </w:rPr>
  </w:style>
  <w:style w:type="paragraph" w:styleId="Odstavekseznama">
    <w:name w:val="List Paragraph"/>
    <w:basedOn w:val="Navaden"/>
    <w:uiPriority w:val="34"/>
    <w:qFormat/>
    <w:rsid w:val="0029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5467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3</cp:revision>
  <dcterms:created xsi:type="dcterms:W3CDTF">2018-10-07T09:19:00Z</dcterms:created>
  <dcterms:modified xsi:type="dcterms:W3CDTF">2018-10-07T09:21:00Z</dcterms:modified>
</cp:coreProperties>
</file>